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22 maja 2024</w:t>
      </w:r>
    </w:p>
    <w:p w:rsidR="00000000" w:rsidDel="00000000" w:rsidP="00000000" w:rsidRDefault="00000000" w:rsidRPr="00000000" w14:paraId="00000002">
      <w:pPr>
        <w:pStyle w:val="Heading4"/>
        <w:spacing w:line="276" w:lineRule="auto"/>
        <w:rPr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Cykle pozakonkursowe na 64. Krakowskim Festiwalu Filmowym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Krakowski Festiwal Filmowy wraca do ubiegłorocznych, filmowych nazw cykli pozakonkursowych. W ramach Iluminacji, Ziemi obiecanej i Jak w zwierciadle będzie można zobaczyć starannie wyselekcjonowane dokumenty i filmy krótkometrażowe. Tytuły mistrzowskich produkcji Ingmara Bergmana, Andrzeja Wajdy i Krzysztofa Zanussiego były inspiracją dla kuratora sekcji Krzysztofa Gierata, a przy tym można je potraktować jako doskonały punkt wyjścia do interpretacji prezentowanych w cyklach tytułów. 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Iluminacja</w:t>
      </w:r>
    </w:p>
    <w:p w:rsidR="00000000" w:rsidDel="00000000" w:rsidP="00000000" w:rsidRDefault="00000000" w:rsidRPr="00000000" w14:paraId="00000007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Pół wieku temu na festiwalu w Locarno Grand Prix otrzymał film Krzysztofa Zanussiego. Produkcja zachwyciła gremia jurorskie i selekcjonerskie na całym świecie. Śladem filmu zmierzają tytuły prezentowane w ramach cyklu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Iluminacja.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Każdy z nich ma za sobą imponującą ścieżkę festiwalową, a nawet kilka nagród na koncie. </w:t>
      </w:r>
    </w:p>
    <w:p w:rsidR="00000000" w:rsidDel="00000000" w:rsidP="00000000" w:rsidRDefault="00000000" w:rsidRPr="00000000" w14:paraId="00000009">
      <w:pPr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Premiera na Sundance otworzyła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“Arcydzieło” (reż.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Álex Lora)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na świat. Ta niepozorna krótkometrażowa fabuła o bogatym małżeństwie i parze złomiarzy staje się przyczynkiem do niebanalnej opowieści o różnicach klasowych i uprzedzeniach. O konfrontacji, tym razem ze wspomnieniami, jest animacja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“Via Dolorosa”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Reżyserka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Rachel Gutgarts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 swoim krótkim filmie powraca na ulice tętniącej życiem Jerozolimy, po których włóczyła się będąc nastolatką. Naście lat ma bohater pokazywanego na Berlinale krótkometrażowego filmu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Gleba Osatinskiego.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“Urazie”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17-letni Yasha buntuje się przeciwko sowieckiej władzy. O polityce, ale w nieco bardziej kąśliwym wydaniu jest dokument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“Uśmiech Gruzji” (reż. Luka Beradze).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Nowe zęby w zamian za głos w wyborach? Na taki pomysł w 2012 roku wpadła jedna z partii rządzących, która tym sposobem chciała kupić wyborców z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najbiedniejszych rejonów kraju.</w:t>
      </w:r>
    </w:p>
    <w:p w:rsidR="00000000" w:rsidDel="00000000" w:rsidP="00000000" w:rsidRDefault="00000000" w:rsidRPr="00000000" w14:paraId="0000000B">
      <w:pPr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Do biedniejszych zakątków swojego kraju zagląda reżyser kilkukrotnie nagrodzonego dokumentu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“Zbieracze butelek”.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Nemanja Vojinović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zapuszcza się na obrzeża Belgradu, do jednego z największych wysypisk śmieci w Europie. W podobnym miejscu mieszkają mali bohaterowie animacji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“Bez końca” (reż. Nina Gantz).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Ich opiekun, a zarazem twórca programu dla dzieci, nie żyje, a dom, w którym wszyscy mieszkają popada w ruinę. Wspomnienia czasów świetności programu mieszają się tutaj z rozkładem, głodem i niepokojem o przyszłość. O swój los drżą też bohaterowie dwóch nagradzanych krótkometrażowych filmów animowanych opowiadających o emigracji. 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“Purdze” (reż. Gintarė Valevičiūtė Brazauskienė, Antanas Skučas)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jest rok 1942, a ludzie deportowani przez Sowietów muszą zmierzyć się z siłami majestatycznej, ale nieprzejednanej natury. Oparta na wspomnieniach, tych, którzy przeżyli, animacja zabiera widzów na kraniec świata, by pokazać ludzi na krawędzi swoich możliwości. 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“Łapie nieszczęścia”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nie ma konkretnego miejsca i czasu, to uniwersalna opowieść o wojnie, która nie pozostawia dużego wyboru - można zostać i stawiać opór lub uciekać. Bohater animacji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Georgesa Salameha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postanawia wyemigrować. O doświadczeniach w nowej ojczyźnie opowiada ostatni dokument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Mateja Bobrika.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“Odległościach”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sportretowana została nepalska rodzina mieszkająca w Polsce. Poprawiające się warunki życia niekoniecznie pozytywnie wpływają na relacje domowe. </w:t>
      </w:r>
    </w:p>
    <w:p w:rsidR="00000000" w:rsidDel="00000000" w:rsidP="00000000" w:rsidRDefault="00000000" w:rsidRPr="00000000" w14:paraId="0000000D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“Koń, jaki jest, każdy widzi”. Nic bardziej mylnego, o czym przekonuje mistrz animacji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Witold Giersz.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 swoim nowym filmie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“Portret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konia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nagradzany twórca zabiera widzów w wielowiekową podróż śladem wyobrażeń konia. O zupełnie innym sposobie portretowania opowiada krótki dokument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Coriny Schwingruber Ilić.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Autorka nagrodzonego w Locarno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“Być tam”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odwiedza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u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wielbiane przez turystów punkty, w których od rana do wieczora ustawiają się kolejki złaknionych pamiątkowego zdjęcia podróżników. </w:t>
      </w:r>
    </w:p>
    <w:p w:rsidR="00000000" w:rsidDel="00000000" w:rsidP="00000000" w:rsidRDefault="00000000" w:rsidRPr="00000000" w14:paraId="0000000F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Jak w zwierciadle</w:t>
      </w:r>
    </w:p>
    <w:p w:rsidR="00000000" w:rsidDel="00000000" w:rsidP="00000000" w:rsidRDefault="00000000" w:rsidRPr="00000000" w14:paraId="00000011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W swojej trylogii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 pionowej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 Ingmar Bergman zmaga się z problemem “milczącego Boga”, kryzysu wiary, ale i próbuje przyjrzeć się bliżej skomplikowanym relacjom międzyludzkim. To opowieści o dużej niepewności, co do sensu życia, ale i istnienia Boga.</w:t>
      </w:r>
    </w:p>
    <w:p w:rsidR="00000000" w:rsidDel="00000000" w:rsidP="00000000" w:rsidRDefault="00000000" w:rsidRPr="00000000" w14:paraId="00000013">
      <w:pPr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O tej niepewności jutra doskonale wiedzą bohaterowie i bohaterki dokumentu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“Ouvidor” (reż.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Matias Borgström).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Tytułowy Ouvidor to największy artystyczny squat w Ameryce Łacińskiej. Miejsce tętniące życiem, kolorowe, twórcze, zamieszkiwane przez 120 twórców z różnych krajów, zmaga się z ciągłą groźbą eksmisji ze strony brazylijskiego rządu. </w:t>
      </w:r>
    </w:p>
    <w:p w:rsidR="00000000" w:rsidDel="00000000" w:rsidP="00000000" w:rsidRDefault="00000000" w:rsidRPr="00000000" w14:paraId="00000015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Z kolei o wierze i kryzysach z nią związanych jest dokument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Mary Posatko. “W sezonie zimowym”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jest bardzo osobistą, składającą się z licznych prywatnych archiwaliów opowieścią o zakazanej miłości rodziców autorki. Oddani religii Tom i Sheila w młodości składają śluby czystości, by oddać się życiu duchowemu. Ona jako zakonnica, a on jako ksiądz. </w:t>
      </w:r>
    </w:p>
    <w:p w:rsidR="00000000" w:rsidDel="00000000" w:rsidP="00000000" w:rsidRDefault="00000000" w:rsidRPr="00000000" w14:paraId="00000017">
      <w:pPr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Ziemia obiecana</w:t>
      </w:r>
    </w:p>
    <w:p w:rsidR="00000000" w:rsidDel="00000000" w:rsidP="00000000" w:rsidRDefault="00000000" w:rsidRPr="00000000" w14:paraId="00000019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Monumentalna powieść została mistrzowsko zaadaptowana przez Andrzeja Wajdę. To rzecz o marzeniach, przyjaźni i pracy, która dla jednych jest spełnieniem i drogą do upragnionego awansu w hierarchii społecznej, a dla drugich wiąże się z wyzyskiem i degradacją. </w:t>
      </w:r>
    </w:p>
    <w:p w:rsidR="00000000" w:rsidDel="00000000" w:rsidP="00000000" w:rsidRDefault="00000000" w:rsidRPr="00000000" w14:paraId="0000001B">
      <w:pPr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Zjawisku pracy bacznie przygląda się dziennikarka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Apolena Rychlíková.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Kobieta decyduje się zrealizować dokument wcieleniowy opowiadający o “taniej sile roboczej” w Europie Zachodniej. Praca na farmie szparagów, opieka nad osobami starszymi czy sprzątanie hoteli to standardowe miejsca pracy osób pochodzących z drugiej, “gorszej” części kontynentu. 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“Granicach Europy”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otrzymujemy porażający portret nierówności i wyzysku ludzi ze Wschodu, pracujących na komfort swoich sąsiadów.</w:t>
      </w:r>
    </w:p>
    <w:p w:rsidR="00000000" w:rsidDel="00000000" w:rsidP="00000000" w:rsidRDefault="00000000" w:rsidRPr="00000000" w14:paraId="0000001D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Ogromną pracę wykonała Aniqa Bano. Bohaterka dokumentu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“Latające ręce” (reż. Marta Gómez, Paula Iglesias)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urodziła głuchą córeczkę. Kobieta wcześniej nie zdawała sobie sprawy, że w jej rodzinnym Balistanie osoby z taką niepełnosprawnością są odrzucane przez społeczeństwo, a nawet swoich bliskich. Aniqa postanowiła działać, wybudowała szkołę dla osób niesłyszących, zaczęła je edukować i kształcić do samodzielnego życia. To wzruszająco piękna opowieść o sile zaangażowania i tworzeniu wspólnot przełamujących stereotypy.</w:t>
      </w:r>
    </w:p>
    <w:p w:rsidR="00000000" w:rsidDel="00000000" w:rsidP="00000000" w:rsidRDefault="00000000" w:rsidRPr="00000000" w14:paraId="0000001F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 niezwykle przyjaznej i otwartej społeczności mieszka niepełnosprawny intelektualnie 30-letni Ola, bohater dokumentu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Ragnhild Nøst Bergem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Mała norweska wioska skupia zróżnicowaną, empatyczną grupę ludzi. Starają się oni żyć w wolniejszym tempie, w harmonii z naturą, otaczając się szacunkiem i darząc wsparciem. Ola doskonale odnajduje się w tej patchworkowej rodzinie, dopóki nie dojdzie do rozłąki z bliską mu osobą. Film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“Być jak Ola”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udowadnia, że życie w egalitarnym społeczeństwie jest możliwe, a podstawą jest wzajemna akceptacja. </w:t>
      </w:r>
    </w:p>
    <w:p w:rsidR="00000000" w:rsidDel="00000000" w:rsidP="00000000" w:rsidRDefault="00000000" w:rsidRPr="00000000" w14:paraId="00000021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hd w:fill="ffffff" w:val="clear"/>
        <w:spacing w:after="40" w:before="0" w:lineRule="auto"/>
        <w:rPr>
          <w:b w:val="1"/>
          <w:color w:val="141414"/>
          <w:highlight w:val="white"/>
        </w:rPr>
      </w:pPr>
      <w:bookmarkStart w:colFirst="0" w:colLast="0" w:name="_z9aouzoefw2e" w:id="1"/>
      <w:bookmarkEnd w:id="1"/>
      <w:r w:rsidDel="00000000" w:rsidR="00000000" w:rsidRPr="00000000">
        <w:rPr>
          <w:b w:val="1"/>
          <w:color w:val="141414"/>
          <w:highlight w:val="white"/>
          <w:rtl w:val="0"/>
        </w:rPr>
        <w:t xml:space="preserve">Iluminacja: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Arcydzieło / The Masterpiece, r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eż.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Álex Lora,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 Hiszpania, 20’, 2024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Bez końca / Wander to Wonder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reż. Nina Gantz, Królestwo Niderlandów, Francja, Belgia, 14’, 2023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14141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Być tam / Been There,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 reż.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Corina Schwingruber Ilić, Szwajcaria, 10’, 2023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i w:val="1"/>
          <w:color w:val="333333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Łapa nieszczęścia / Claw Machine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reż. Georges Salameh, Grecja, 14’, 2023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Odległości / Distances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reż. Matej Bobrik, Polska, 84’, 2023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Portret konia / Horse Portrait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reż. Witold Giersz, Polska, 6’, 2023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Purga,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reż. Gintarė Valevičiūtė Brazauskienė, Antanas Skučas, Litwa, 13’, 2023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i w:val="1"/>
          <w:color w:val="333333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Uraza / Resentment,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Gleb Osatinski, Litwa, 30’, 2023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Uśmiech Gruzji / Smiling Georgia,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reż. Luka Beradze, Gruzja, Niemcy, 62’, 2023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Via Dolorosa,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reż. Rachel Gutgarts, Francja, 11’, 2023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240" w:lineRule="auto"/>
        <w:ind w:left="720" w:hanging="360"/>
        <w:rPr>
          <w:i w:val="1"/>
          <w:color w:val="333333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Zbieracze butelek / Bottlemen,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Nemanja Vojinović, Serbia, Słowenia, 83’,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shd w:fill="ffffff" w:val="clear"/>
        <w:spacing w:after="40" w:before="0" w:lineRule="auto"/>
        <w:rPr>
          <w:b w:val="1"/>
          <w:color w:val="141414"/>
          <w:highlight w:val="white"/>
        </w:rPr>
      </w:pPr>
      <w:bookmarkStart w:colFirst="0" w:colLast="0" w:name="_sxrdkvikls4i" w:id="2"/>
      <w:bookmarkEnd w:id="2"/>
      <w:r w:rsidDel="00000000" w:rsidR="00000000" w:rsidRPr="00000000">
        <w:rPr>
          <w:b w:val="1"/>
          <w:color w:val="141414"/>
          <w:highlight w:val="white"/>
          <w:rtl w:val="0"/>
        </w:rPr>
        <w:t xml:space="preserve">Jak w zwierciadle: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Ouvidor,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 reż.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Matias Borgström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Brazylia, 74’, 2023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240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W sezonie zimowym / In a Wintry Season,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Mary Posatko, USA, 94’,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shd w:fill="ffffff" w:val="clear"/>
        <w:spacing w:after="40" w:before="0" w:lineRule="auto"/>
        <w:rPr>
          <w:b w:val="1"/>
          <w:color w:val="141414"/>
          <w:highlight w:val="white"/>
        </w:rPr>
      </w:pPr>
      <w:bookmarkStart w:colFirst="0" w:colLast="0" w:name="_70ewuw8zdxu1" w:id="3"/>
      <w:bookmarkEnd w:id="3"/>
      <w:r w:rsidDel="00000000" w:rsidR="00000000" w:rsidRPr="00000000">
        <w:rPr>
          <w:b w:val="1"/>
          <w:color w:val="141414"/>
          <w:highlight w:val="white"/>
          <w:rtl w:val="0"/>
        </w:rPr>
        <w:t xml:space="preserve">Ziemia obiecana: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Być jak Ola / Being Ola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 reż.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Ragnhild Nøst Bergem, Norwegia. 72’,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Granice Europy / Limits of Europe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Apolena Rychlíková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Czechy, Francja, 98’, 2024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240" w:lineRule="auto"/>
        <w:ind w:left="720" w:hanging="360"/>
        <w:rPr>
          <w:i w:val="1"/>
          <w:color w:val="14141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Latające ręce / Flying Hands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Marta Gómez, Paula Iglesias, Hiszpania, 78’, 2023</w:t>
      </w:r>
    </w:p>
    <w:p w:rsidR="00000000" w:rsidDel="00000000" w:rsidP="00000000" w:rsidRDefault="00000000" w:rsidRPr="00000000" w14:paraId="00000035">
      <w:pPr>
        <w:shd w:fill="ffffff" w:val="clear"/>
        <w:spacing w:after="460" w:lineRule="auto"/>
        <w:rPr>
          <w:color w:val="007fc5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Karnety i bilety na 64. Krakowski Festiwal Filmowy </w:t>
      </w:r>
      <w:hyperlink r:id="rId6">
        <w:r w:rsidDel="00000000" w:rsidR="00000000" w:rsidRPr="00000000">
          <w:rPr>
            <w:color w:val="007fc5"/>
            <w:sz w:val="24"/>
            <w:szCs w:val="24"/>
            <w:highlight w:val="white"/>
            <w:rtl w:val="0"/>
          </w:rPr>
          <w:t xml:space="preserve">już w sprzedaży!</w:t>
          <w:br w:type="textWrapping"/>
        </w:r>
      </w:hyperlink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Harmonogram projekcji i wydarzeń towarzyszących </w:t>
      </w:r>
      <w:hyperlink r:id="rId7">
        <w:r w:rsidDel="00000000" w:rsidR="00000000" w:rsidRPr="00000000">
          <w:rPr>
            <w:color w:val="007fc5"/>
            <w:sz w:val="24"/>
            <w:szCs w:val="24"/>
            <w:highlight w:val="white"/>
            <w:rtl w:val="0"/>
          </w:rPr>
          <w:t xml:space="preserve">jest dostępny na stronie.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460" w:lineRule="auto"/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Krakowski Festiwal Filmowy jest na ekskluzywnej liście wydarzeń filmowych kwalifikujących do Oscara® w kategoriach krótkometrażowych (fabuła, animacja, dokument) oraz pełnometrażowego filmu dokumentalnego, a także rekomenduje do </w:t>
      </w:r>
      <w:hyperlink r:id="rId8">
        <w:r w:rsidDel="00000000" w:rsidR="00000000" w:rsidRPr="00000000">
          <w:rPr>
            <w:color w:val="007fc5"/>
            <w:sz w:val="24"/>
            <w:szCs w:val="24"/>
            <w:highlight w:val="white"/>
            <w:rtl w:val="0"/>
          </w:rPr>
          <w:t xml:space="preserve">Europejskiej Nagrody Filmowej</w:t>
        </w:r>
      </w:hyperlink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 w tych samych kategoriach.</w:t>
      </w:r>
    </w:p>
    <w:p w:rsidR="00000000" w:rsidDel="00000000" w:rsidP="00000000" w:rsidRDefault="00000000" w:rsidRPr="00000000" w14:paraId="00000037">
      <w:pPr>
        <w:shd w:fill="ffffff" w:val="clear"/>
        <w:spacing w:after="460" w:lineRule="auto"/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Festiwal realizowany jest ze środków: Gminy Miejskiej Kraków, Ministerstwa Kultury i Dziedzictwa Narodowego, Programu Kreatywna Europa Komisji Europejskiej, Województwa Małopolskiego, Polskiego Instytutu Sztuki Filmowej. Współorganizatorem jest Stowarzyszenie Filmowców Polskich.</w:t>
      </w:r>
    </w:p>
    <w:p w:rsidR="00000000" w:rsidDel="00000000" w:rsidP="00000000" w:rsidRDefault="00000000" w:rsidRPr="00000000" w14:paraId="00000038">
      <w:pPr>
        <w:shd w:fill="ffffff" w:val="clear"/>
        <w:spacing w:after="460" w:lineRule="auto"/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64. Krakowski Festiwal Filmowy odbędzie się w kinach od 26 maja do 2 czerwca 2024 roku oraz online na KFF VOD od 31 maja do 16 czerwca 2024 roku.</w:t>
      </w:r>
    </w:p>
    <w:p w:rsidR="00000000" w:rsidDel="00000000" w:rsidP="00000000" w:rsidRDefault="00000000" w:rsidRPr="00000000" w14:paraId="00000039">
      <w:pPr>
        <w:shd w:fill="ffffff" w:val="clear"/>
        <w:spacing w:after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4141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4141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4141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rakowfilmfestival.pl/64-kff/bilety-i-karnety-64-kff/" TargetMode="External"/><Relationship Id="rId7" Type="http://schemas.openxmlformats.org/officeDocument/2006/relationships/hyperlink" Target="https://www.krakowfilmfestival.pl/kino-online/program/#/p/wszystkie%20lokalizacje/wszystkie%20dni/wszystkie%20sekcje" TargetMode="External"/><Relationship Id="rId8" Type="http://schemas.openxmlformats.org/officeDocument/2006/relationships/hyperlink" Target="https://europeanfilmawards.eu/?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